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bookmarkStart w:id="0" w:name="_GoBack"/>
      <w:bookmarkEnd w:id="0"/>
      <w:r>
        <w:rPr>
          <w:b/>
          <w:bCs/>
          <w:color w:val="002060"/>
          <w:sz w:val="36"/>
          <w:szCs w:val="36"/>
        </w:rPr>
        <w:t>Matematyka. Solidnie od podstaw</w:t>
      </w:r>
    </w:p>
    <w:p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 w:rsidR="000F1C77">
        <w:rPr>
          <w:b/>
          <w:bCs/>
          <w:color w:val="002060"/>
          <w:sz w:val="20"/>
          <w:szCs w:val="20"/>
        </w:rPr>
        <w:t>4</w:t>
      </w:r>
    </w:p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+ ZAKRES ROZSZERZONY</w:t>
      </w:r>
    </w:p>
    <w:p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:rsidR="0001364E" w:rsidRPr="0001364E" w:rsidRDefault="0001364E" w:rsidP="0001364E">
      <w:pPr>
        <w:shd w:val="clear" w:color="auto" w:fill="E7E6E6" w:themeFill="background2"/>
        <w:spacing w:after="0" w:line="360" w:lineRule="auto"/>
        <w:jc w:val="both"/>
        <w:rPr>
          <w:iCs/>
          <w:sz w:val="20"/>
          <w:szCs w:val="20"/>
        </w:rPr>
      </w:pPr>
      <w:r w:rsidRPr="0001364E">
        <w:rPr>
          <w:iCs/>
          <w:sz w:val="20"/>
          <w:szCs w:val="20"/>
        </w:rPr>
        <w:t xml:space="preserve">Prezentowane wymagania to </w:t>
      </w:r>
      <w:r w:rsidRPr="0001364E">
        <w:rPr>
          <w:b/>
          <w:iCs/>
          <w:sz w:val="20"/>
          <w:szCs w:val="20"/>
        </w:rPr>
        <w:t>propozycja</w:t>
      </w:r>
      <w:r w:rsidRPr="0001364E">
        <w:rPr>
          <w:iCs/>
          <w:sz w:val="20"/>
          <w:szCs w:val="20"/>
        </w:rPr>
        <w:t xml:space="preserve"> wymagań na poszczególne oceny. Zachęcamy do ich weryfikacji po właściwej diagnozie, czyli p</w:t>
      </w:r>
      <w:r>
        <w:rPr>
          <w:iCs/>
          <w:sz w:val="20"/>
          <w:szCs w:val="20"/>
        </w:rPr>
        <w:t>o za</w:t>
      </w:r>
      <w:r w:rsidRPr="0001364E">
        <w:rPr>
          <w:iCs/>
          <w:sz w:val="20"/>
          <w:szCs w:val="20"/>
        </w:rPr>
        <w:t>poznaniu się z możliwościami uczniów w obszarze matematyki.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4B5973" w:rsidRPr="007350CC" w:rsidRDefault="007350CC" w:rsidP="007350CC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7350CC">
        <w:rPr>
          <w:b/>
          <w:bCs/>
          <w:color w:val="002060"/>
          <w:sz w:val="24"/>
          <w:szCs w:val="24"/>
        </w:rPr>
        <w:t>Uwaga: Treści zapisane kursywą są powtórzeniem z planu wynikowego klasy 1</w:t>
      </w:r>
      <w:r w:rsidR="002422CC">
        <w:rPr>
          <w:b/>
          <w:bCs/>
          <w:color w:val="002060"/>
          <w:sz w:val="24"/>
          <w:szCs w:val="24"/>
        </w:rPr>
        <w:t>, 2 oraz 3</w:t>
      </w:r>
      <w:r w:rsidRPr="007350CC">
        <w:rPr>
          <w:b/>
          <w:bCs/>
          <w:color w:val="002060"/>
          <w:sz w:val="24"/>
          <w:szCs w:val="24"/>
        </w:rPr>
        <w:t>, zakres rozszerzony.</w:t>
      </w:r>
      <w:r w:rsidR="004B5973" w:rsidRPr="007350CC">
        <w:rPr>
          <w:b/>
          <w:bCs/>
          <w:color w:val="002060"/>
          <w:sz w:val="24"/>
          <w:szCs w:val="24"/>
        </w:rPr>
        <w:br w:type="page"/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212C99" w:rsidRPr="0051162B" w:rsidRDefault="002422CC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1" w:name="_Hlk15322564"/>
      <w:r>
        <w:rPr>
          <w:b/>
          <w:bCs/>
          <w:color w:val="002060"/>
          <w:sz w:val="28"/>
          <w:szCs w:val="28"/>
        </w:rPr>
        <w:t>FUNKCJA WYKŁADNICZA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2422CC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wykładnicza i jej własności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7F47EF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Przekształcenia wykresów funkcji wykładniczych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7F47EF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wykładnicze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7F47EF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wykładnicze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7F47EF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funkcji wykładniczej w zadaniach</w:t>
            </w:r>
          </w:p>
        </w:tc>
      </w:tr>
      <w:bookmarkEnd w:id="1"/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Pr="00121D3E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4"/>
        <w:gridCol w:w="5249"/>
      </w:tblGrid>
      <w:tr w:rsidR="000842B3" w:rsidRPr="000842B3" w:rsidTr="00B93C2A">
        <w:trPr>
          <w:tblHeader/>
          <w:jc w:val="center"/>
        </w:trPr>
        <w:tc>
          <w:tcPr>
            <w:tcW w:w="0" w:type="auto"/>
            <w:gridSpan w:val="2"/>
            <w:shd w:val="clear" w:color="000000" w:fill="7B7B7B"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842B3" w:rsidRPr="000842B3" w:rsidTr="007F47EF">
        <w:trPr>
          <w:tblHeader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000000" w:fill="00B0F0"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000000" w:fill="00B050"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wykonywać działania na potęgach o wykładniku naturalnym, całkowitym i wymiernym;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prawa działań na potęgach o wykładnikach wymiernych i stosuje je w obliczeniach;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pojęcie pierwiastka arytmetycznego z liczby nieujemnej i potrafi stosować prawa działań na pierwiastkach w obliczeniach;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obliczać pierwiastki stopnia nieparzystego z liczb ujemnych;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wykonywać działania na potęgach o wykładniku rzeczywistym;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zapisać daną liczbę w postaci potęgi o wskazanej podstawie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stosuje własności działań na potęgach w rozwiązywaniu zadań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uprościć wyrażenia zawierające potęgi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funkcji wykładniczej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porównywać potęgi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odróżnić funkcję wykładniczą od innych funkcji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opisać własności funkcji wykładniczej na podstawie jej wykresu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obliczać wartości funkcji dla danych argumentów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wzór funkcji wykładniczej w oparciu współrzędne punktu/punktów należących do wykresu funkcji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wykładniczych dla różnych podstaw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szkicować wykresy funkcji wykładniczych stosując przesunięcie równoległe o wektor i symetrie względem osi układu (złożenie przekształceń)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przekształcać wykresy funkcji wykładniczych (S</w:t>
            </w:r>
            <w:r w:rsidRPr="002422C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OX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 w:rsidRPr="002422C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OY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S(0,0), przesunięcie równoległe o dany wektor)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wykładniczych stosując przesunięcie równoległe o wektor albo symetrie względem osi układu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równania wykładniczego oraz nierówności wykładniczej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rozwiązywać algebraicznie i graficznie proste równania oraz nierówności wykładnicze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</w:tbl>
    <w:p w:rsidR="00B93C2A" w:rsidRDefault="00B93C2A">
      <w:pPr>
        <w:rPr>
          <w:b/>
          <w:bCs/>
          <w:color w:val="002060"/>
          <w:sz w:val="20"/>
          <w:szCs w:val="20"/>
        </w:rPr>
      </w:pPr>
    </w:p>
    <w:p w:rsidR="00B93C2A" w:rsidRDefault="00B93C2A">
      <w:pPr>
        <w:rPr>
          <w:b/>
          <w:bCs/>
          <w:color w:val="002060"/>
          <w:sz w:val="20"/>
          <w:szCs w:val="20"/>
        </w:rPr>
      </w:pPr>
    </w:p>
    <w:p w:rsidR="007F47EF" w:rsidRDefault="007F47EF">
      <w:pPr>
        <w:rPr>
          <w:b/>
          <w:bCs/>
          <w:color w:val="002060"/>
          <w:sz w:val="20"/>
          <w:szCs w:val="20"/>
        </w:rPr>
      </w:pPr>
    </w:p>
    <w:p w:rsidR="007F47EF" w:rsidRDefault="007F47EF">
      <w:pPr>
        <w:rPr>
          <w:b/>
          <w:bCs/>
          <w:color w:val="002060"/>
          <w:sz w:val="20"/>
          <w:szCs w:val="20"/>
        </w:rPr>
      </w:pPr>
    </w:p>
    <w:p w:rsidR="007F47EF" w:rsidRDefault="007F47E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0" w:type="dxa"/>
          <w:right w:w="0" w:type="dxa"/>
        </w:tblCellMar>
        <w:tblLook w:val="04A0"/>
      </w:tblPr>
      <w:tblGrid>
        <w:gridCol w:w="6129"/>
        <w:gridCol w:w="4644"/>
      </w:tblGrid>
      <w:tr w:rsidR="00B93C2A" w:rsidTr="00B93C2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DOPEŁNIAJĄCE</w:t>
            </w:r>
          </w:p>
        </w:tc>
      </w:tr>
      <w:tr w:rsidR="00B93C2A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przekształca wyrażenia algebraiczne zawierające potęgi i pierwiastki;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oszacować wartość potęgi o wykładniku rzeczywistym;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zamienia pierwiastki arytmetyczne na potęgi o wykładniku wymiernym i odwrotnie;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porównywać wyrażenia zawierające pierwiastki;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wykonywać działania na potęgach o wykładniku rzeczywistym;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wyłączać wspólną potęgę poza nawias;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szkicować wykresy funkcji wykładniczych z wartością bezwzględną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 nierówności wykładnicze stosując metodę podstawiania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interpretować graficznie równania wykładnicze z parametrem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układy równań i nierówności wykładniczych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badać, na podstawie definicji, własności funkcji wykładniczych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stosować wiadomości o funkcji wykładniczej w różnych zadaniach (np., dotyczących ciągów, trygonometrii, itp.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na dowodzenie  (o średnim stopniu trudności), w których wykorzystuje wiadomości dotyczące funkcji wykładniczej oraz potęg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zaznaczyć w układzie współrzędnych zbiory punktów opisane a pomocą nierówności wykładniczych 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rozwiązać równania oraz nierówności wykładnicze korzystając z wykresów odpowiednich funkcji wykładniczych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rozwiązywać zadania stosując własności funkcji wykładniczych 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rozwiązywać równania i nierówności wykładnicze korzystając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z różnowartościowości oraz monotoniczności funkcji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 nierówności wykładnicze z parametrem;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nierówności łączące funkcję wykładniczą oraz inny typ funkcji (np. liniową)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wykorzystać funkcję wykładniczą do rozwiązywania zadań, o podwyższonym stopniu trudności, osadzonych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w kontekście praktycznym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wykorzystać funkcję wykładniczą do rozwiązywania zadań osadzonych w kontekście praktycznym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B93C2A" w:rsidRDefault="00B93C2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</w:p>
    <w:p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0" w:type="dxa"/>
          <w:right w:w="0" w:type="dxa"/>
        </w:tblCellMar>
        <w:tblLook w:val="04A0"/>
      </w:tblPr>
      <w:tblGrid>
        <w:gridCol w:w="10773"/>
      </w:tblGrid>
      <w:tr w:rsidR="00B93C2A" w:rsidTr="00B93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B93C2A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7F47EF" w:rsidTr="00D42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równania i nierówności wykładnicze z parametrem o podwyższonym stopniu trudności;</w:t>
            </w:r>
          </w:p>
        </w:tc>
      </w:tr>
      <w:tr w:rsidR="007F47EF" w:rsidTr="007F47E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zadania na dowodzenie (o podwyższonym stopniu trudności), w których wykorzystuje własności funkcji wykładniczych</w:t>
            </w:r>
          </w:p>
        </w:tc>
      </w:tr>
    </w:tbl>
    <w:p w:rsidR="000842B3" w:rsidRDefault="00B93C2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  <w:r w:rsidR="000842B3">
        <w:rPr>
          <w:b/>
          <w:bCs/>
          <w:color w:val="002060"/>
          <w:sz w:val="20"/>
          <w:szCs w:val="20"/>
        </w:rPr>
        <w:br w:type="page"/>
      </w: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p w:rsidR="001F0EA5" w:rsidRPr="0051162B" w:rsidRDefault="00303078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FUNKCJA LOGARYTMICZNA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logarytmiczna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Przekształcenie wykresów funkcji logarytmicznych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logarytmiczne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logarytmiczne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funkcji wykładniczej i funkcji logarytmicznej do rozwiązywania zadań umieszczonych w kontekście praktycznym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0D48D7" w:rsidRPr="000D48D7" w:rsidTr="00653BD8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D48D7" w:rsidRPr="000D48D7" w:rsidTr="00653BD8">
        <w:trPr>
          <w:cantSplit/>
          <w:tblHeader/>
          <w:jc w:val="center"/>
        </w:trPr>
        <w:tc>
          <w:tcPr>
            <w:tcW w:w="5387" w:type="dxa"/>
            <w:shd w:val="clear" w:color="000000" w:fill="00B0F0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shd w:val="clear" w:color="000000" w:fill="00B050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D165F2" w:rsidRPr="000D48D7" w:rsidTr="00653BD8">
        <w:trPr>
          <w:cantSplit/>
          <w:jc w:val="center"/>
        </w:trPr>
        <w:tc>
          <w:tcPr>
            <w:tcW w:w="5387" w:type="dxa"/>
            <w:shd w:val="clear" w:color="000000" w:fill="D6DCE4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definicję logarytmu i potrafi obliczać logarytmy bezpośrednio z definicji;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wykonywać proste działania z wykorzystaniem twierdzenia o: logarytmie iloczynu, logarytmie ilorazu, logarytmie potęgi;</w:t>
            </w:r>
          </w:p>
        </w:tc>
      </w:tr>
      <w:tr w:rsidR="00D165F2" w:rsidRPr="000D48D7" w:rsidTr="00653BD8">
        <w:trPr>
          <w:cantSplit/>
          <w:jc w:val="center"/>
        </w:trPr>
        <w:tc>
          <w:tcPr>
            <w:tcW w:w="5387" w:type="dxa"/>
            <w:shd w:val="clear" w:color="000000" w:fill="D6DCE4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pojęcia: podstawa logarytmu, liczba logarytmowana;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zamienić podstawę logarytmu;</w:t>
            </w:r>
          </w:p>
        </w:tc>
      </w:tr>
      <w:tr w:rsidR="00D165F2" w:rsidRPr="000D48D7" w:rsidTr="00653BD8">
        <w:trPr>
          <w:cantSplit/>
          <w:jc w:val="center"/>
        </w:trPr>
        <w:tc>
          <w:tcPr>
            <w:tcW w:w="5387" w:type="dxa"/>
            <w:shd w:val="clear" w:color="000000" w:fill="D6DCE4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pojęcie logarytmu dziesiętnego;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D165F2" w:rsidRPr="000D48D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założenia i zapisać w prostszej postaci wyrażenia zawierające logarytmy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do obliczeń logarytmu równości wynikające z definicji logarytmu</w:t>
            </w:r>
          </w:p>
        </w:tc>
      </w:tr>
      <w:tr w:rsidR="00D165F2" w:rsidRPr="000D48D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funkcji logarytmicznej;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i potrafi stosować własności logarytmów do obliczania wartości wyrażeń</w:t>
            </w:r>
          </w:p>
        </w:tc>
      </w:tr>
      <w:tr w:rsidR="00D165F2" w:rsidRPr="000D48D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odróżnić funkcję logarytmiczną od innej funkcji;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stosować twierdzenie o zmianie podstaw logarytmów do obliczania wartości wyrażeń oraz przekształcania wyrażeń z logarytmami</w:t>
            </w:r>
          </w:p>
        </w:tc>
      </w:tr>
      <w:tr w:rsidR="00D165F2" w:rsidRPr="000D48D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określić dziedzinę funkcji logarytmicznej;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podstawę logarytmu/liczbę logarytmowaną, gdy dana jest wartość logarytmu</w:t>
            </w:r>
          </w:p>
        </w:tc>
      </w:tr>
      <w:tr w:rsidR="00D165F2" w:rsidRPr="000D48D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logarytmicznych dla różnych podstaw;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podaje odpowiednie założenia dla dla podstawy oraz liczby logarytmowanej</w:t>
            </w:r>
          </w:p>
        </w:tc>
      </w:tr>
      <w:tr w:rsidR="00D165F2" w:rsidRPr="000D48D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opisać własności funkcji logarytmicznej na podstawie jej wykresu;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obliczyć/wyznaczyć  przybliżoną wartość logarytmu  mając przybliżenie innego logarytmu (np.  wyznaczyć log</w:t>
            </w:r>
            <w:r w:rsidRPr="00D165F2">
              <w:rPr>
                <w:rFonts w:ascii="Calibri" w:hAnsi="Calibri" w:cs="Calibri"/>
                <w:color w:val="00B05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20 wiedząc, że log</w:t>
            </w:r>
            <w:r w:rsidRPr="00D165F2">
              <w:rPr>
                <w:rFonts w:ascii="Calibri" w:hAnsi="Calibri" w:cs="Calibri"/>
                <w:color w:val="00B05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5 = p)</w:t>
            </w:r>
          </w:p>
        </w:tc>
      </w:tr>
      <w:tr w:rsidR="00D165F2" w:rsidRPr="000D48D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przekształcać wykresy funkcji logarytmicznych (S</w:t>
            </w:r>
            <w:r w:rsidRPr="00403EB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OX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 w:rsidRPr="00403EB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OY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S(0,0), przesunięcie równoległe o dany wektor);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</w:t>
            </w:r>
            <w:r w:rsidR="00403EBC">
              <w:rPr>
                <w:rFonts w:ascii="Calibri" w:hAnsi="Calibri" w:cs="Calibri"/>
                <w:color w:val="00B05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afi wyznaczyć wzór funkcji logarytmicznej gdy dany jest punkt należący do wykresu</w:t>
            </w:r>
          </w:p>
        </w:tc>
      </w:tr>
      <w:tr w:rsidR="00D165F2" w:rsidRPr="000D48D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zbiór wartości funkcji logarytmicznej o określonej dziedzinie</w:t>
            </w:r>
          </w:p>
        </w:tc>
      </w:tr>
      <w:tr w:rsidR="009064BA" w:rsidRPr="000D48D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064BA" w:rsidRPr="000D48D7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064BA" w:rsidRPr="000D48D7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algebraicznie rozwiązywać proste równania oraz nierówności logarytmiczne;</w:t>
            </w:r>
          </w:p>
        </w:tc>
      </w:tr>
      <w:tr w:rsidR="009064BA" w:rsidRPr="000D48D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064BA" w:rsidRPr="000D48D7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064BA" w:rsidRPr="000D48D7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zadania tekstowe osadzone w kontekście praktycznym, w których wykorzystuje umiejętność rozwiązywania prostych równań i nierówności wykładniczych oraz logarytmicznych (lokaty bankowe, rozpad substancji promieniotwórczych itp.)</w:t>
            </w:r>
          </w:p>
        </w:tc>
      </w:tr>
      <w:tr w:rsidR="009064BA" w:rsidRPr="000D48D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064BA" w:rsidRPr="000D48D7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064BA" w:rsidRPr="000D48D7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posługuje się funkcjami wykładniczymi oraz funkcjami logarytmicznymi do opisu zjawisk fizycznych, chemicznych itp.</w:t>
            </w:r>
          </w:p>
        </w:tc>
      </w:tr>
    </w:tbl>
    <w:p w:rsidR="000D48D7" w:rsidRDefault="000D48D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99024F" w:rsidRPr="0099024F" w:rsidTr="00653BD8">
        <w:trPr>
          <w:cantSplit/>
          <w:tblHeader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99024F" w:rsidRPr="0099024F" w:rsidTr="00653BD8">
        <w:trPr>
          <w:cantSplit/>
          <w:tblHeader/>
        </w:trPr>
        <w:tc>
          <w:tcPr>
            <w:tcW w:w="5387" w:type="dxa"/>
            <w:shd w:val="clear" w:color="000000" w:fill="FFC000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000000" w:fill="D6DCE4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zna i potrafi stosować własności logarytmów w obliczeniach;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zapisywać wyrażenia z logarytmami z postaci jednego logarytmu;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000000" w:fill="D6DCE4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rozwiązywać nietypowe zadania z zastosowaniem definicji logarytmu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rozwiązywać nietypowe zadania z zastosowaniem poznanych twierdzeń;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000000" w:fill="D6DCE4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przekształcić wyrażenia z logarytmami;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stosować twierdzenia o logarytmie iloczynu, ilorazu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i potęgi do udowadniania równości wyrażeń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udowodnić twierdzenia o logarytmach, twierdzenie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o zamianie podstaw logarytmów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graficznie rozwiązywać równania, nierówności układy równań z zastosowaniem wykresów funkcji logarytmicznych;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wykorzystać własności funkcji logarytmicznej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do rozwiązywania zadań z parametrem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wykorzystać własności funkcji logarytmicznej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do rozwiązywania zadań różnego typu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wykorzystać funkcję logarytmiczną do rozwiązywania zadań, o podwyższonym stopniu trudności, osadzonych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w kontekście praktycznym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wykorzystać funkcję logarytmiczną do rozwiązywania zadań osadzonych w kontekście praktycznym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prowadzić dowody opierające się o twierdzenie o zmianie podstaw logarytmów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na dowodzenie  (o średnim stopniu trudności), w których wykorzystuje wiadomości dotyczące funkcji logarytmicznej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interpretować graficznie równania logarytmiczne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z parametrem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rozwiązać równania oraz nierówności logarytmiczne korzystając z wykresów odpowiednich funkcji logarytmicznych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stosować wiadomości o funkcji logarytmicznej w różnych zadaniach (np., dotyczących ciągów, trygonometrii, itp.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nierówności łączące funkcję logarytmiczną oraz inny typ funkcji (np. liniową)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zaznaczyć w układzie współrzędnych zbiory punktów opisane a pomocą nierówności logarytmicznych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na dowodzenie (o średnim stopniu trudności), w których wykorzystuje wiadomości dotyczące funkcji logarytmicznej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o [podwyższonym stopniu trudności stosując własności funkcji logarytmicznych oraz poznane twierdzenia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szkicować wykresy funkcji logarytmicznych z wartością bezwzględną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 nierówności logarytmiczne z parametrem;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rozwiązywać równania i nierówności logarytmiczne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z wartością bezwzględną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 nierówności logarytmiczne wprowadzając zmienną pomocniczą;</w:t>
            </w:r>
          </w:p>
        </w:tc>
      </w:tr>
      <w:tr w:rsidR="009064BA" w:rsidRPr="0099024F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9064BA" w:rsidRPr="0099024F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układy równań i nierówności logarytmicznych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64BA" w:rsidRPr="0099024F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naszkicować zbiór punktów płaszczyzny spełniających dane równanie lub nierówność z dwiema niewiadomymi,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w których występują logarytmy</w:t>
            </w:r>
          </w:p>
        </w:tc>
      </w:tr>
      <w:tr w:rsidR="009064BA" w:rsidRPr="0099024F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9064BA" w:rsidRPr="0099024F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równania wykładniczo-potęgowo-logarytmiczne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64BA" w:rsidRPr="0099024F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99024F" w:rsidRPr="0099024F" w:rsidTr="00653BD8">
        <w:tc>
          <w:tcPr>
            <w:tcW w:w="0" w:type="auto"/>
            <w:shd w:val="clear" w:color="000000" w:fill="000000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99024F" w:rsidRPr="0099024F" w:rsidTr="00653BD8">
        <w:tc>
          <w:tcPr>
            <w:tcW w:w="0" w:type="auto"/>
            <w:shd w:val="clear" w:color="000000" w:fill="D6DCE4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AE6950" w:rsidRPr="0099024F" w:rsidTr="002665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potrafi wykorzystać pojęcie logarytmu w zadaniach praktycznych.</w:t>
            </w:r>
          </w:p>
        </w:tc>
      </w:tr>
      <w:tr w:rsidR="00AE6950" w:rsidRPr="0099024F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potrafi rozwiązywać zadania z kontekstem praktycznym z zastosowaniem własności logarytmów;</w:t>
            </w:r>
          </w:p>
        </w:tc>
      </w:tr>
      <w:tr w:rsidR="00AE6950" w:rsidRPr="0099024F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potrafi rozwiązywać równania i nierówności logarytmiczne z parametrem;</w:t>
            </w:r>
          </w:p>
        </w:tc>
      </w:tr>
      <w:tr w:rsidR="00AE6950" w:rsidRPr="0099024F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udowodnić niewymierność logarytmu (np. lo</w:t>
            </w:r>
            <w:r w:rsidR="005F4B69">
              <w:rPr>
                <w:rFonts w:ascii="Calibri" w:hAnsi="Calibri" w:cs="Calibri"/>
                <w:sz w:val="20"/>
                <w:szCs w:val="20"/>
              </w:rPr>
              <w:t>g</w:t>
            </w:r>
            <w:r w:rsidRPr="005F4B69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</w:tr>
      <w:tr w:rsidR="00AE6950" w:rsidRPr="0099024F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w dowodach o podwyższonym stopniu trudności korzystać z twierdzeń i własności funkcji logarytmicznej</w:t>
            </w:r>
          </w:p>
        </w:tc>
      </w:tr>
    </w:tbl>
    <w:p w:rsidR="0099024F" w:rsidRDefault="0099024F">
      <w:pPr>
        <w:rPr>
          <w:b/>
          <w:bCs/>
          <w:color w:val="002060"/>
          <w:sz w:val="20"/>
          <w:szCs w:val="20"/>
        </w:rPr>
      </w:pPr>
    </w:p>
    <w:p w:rsidR="00AE6950" w:rsidRDefault="00AE6950">
      <w:pPr>
        <w:rPr>
          <w:b/>
          <w:bCs/>
          <w:color w:val="002060"/>
          <w:sz w:val="20"/>
          <w:szCs w:val="20"/>
        </w:rPr>
      </w:pPr>
    </w:p>
    <w:p w:rsidR="00174DDB" w:rsidRDefault="00174DDB">
      <w:pPr>
        <w:rPr>
          <w:b/>
          <w:bCs/>
          <w:color w:val="002060"/>
          <w:sz w:val="20"/>
          <w:szCs w:val="20"/>
        </w:rPr>
      </w:pPr>
    </w:p>
    <w:p w:rsidR="00AE6950" w:rsidRDefault="00AE6950">
      <w:pPr>
        <w:rPr>
          <w:b/>
          <w:bCs/>
          <w:color w:val="002060"/>
          <w:sz w:val="20"/>
          <w:szCs w:val="20"/>
        </w:rPr>
      </w:pPr>
    </w:p>
    <w:p w:rsidR="001F0EA5" w:rsidRPr="0051162B" w:rsidRDefault="00AE695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ELEMENTY STATYSTYKI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Sposoby prezentowania danych zebranych w wyniku obserwacji statystycznej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Średnia z próby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Mediana z próby i moda z próby. Skala centylowa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Wariancja i odchylenie standardowe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Pr="001D6CC9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99024F" w:rsidRPr="0099024F" w:rsidTr="00AE6950">
        <w:trPr>
          <w:cantSplit/>
          <w:tblHeader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99024F" w:rsidRPr="0099024F" w:rsidTr="00AE6950">
        <w:trPr>
          <w:cantSplit/>
          <w:tblHeader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305496"/>
                <w:sz w:val="20"/>
                <w:szCs w:val="20"/>
              </w:rPr>
              <w:t>zna podstawowe pojęcia statystyki opisowej: obserwacja statystyczna, populacja generalna, próba, liczebność próby, cecha statystyczna (mierzalna, niemierzalna)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interp</w:t>
            </w:r>
            <w:r w:rsidR="002148F1">
              <w:rPr>
                <w:rFonts w:ascii="Calibri" w:eastAsia="Symbol" w:hAnsi="Calibri" w:cs="Symbol"/>
                <w:color w:val="00B050"/>
                <w:sz w:val="20"/>
                <w:szCs w:val="20"/>
              </w:rPr>
              <w:t>r</w:t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etować dane statystyczne odczytane z tabel, diagramów i wykresów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rozumie pojęcie skali centylowej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określać zależności między odczytanymi danymi;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i rozumie pojęcie średniej arytmetycznej, średniej ważonej, wariancji i odchylenia standardowego,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interpretować średnią arytmetyczną, średnią ważoną, medianę i odchylenie standardowe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odczytywać dane statystyczne z tabel, diagramów</w:t>
            </w:r>
            <w:r w:rsidR="002148F1">
              <w:rPr>
                <w:rFonts w:ascii="Calibri" w:eastAsia="Symbol" w:hAnsi="Calibri" w:cs="Symbol"/>
                <w:color w:val="305496"/>
                <w:sz w:val="20"/>
                <w:szCs w:val="20"/>
              </w:rPr>
              <w:br/>
            </w: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 xml:space="preserve"> i wykresów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 zadaniach średnią arytmetyczną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przedstawiać dane empiryczne w postaci tabel, diagramów i wykresów;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 zadaniach medianę i dominantę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interpretować wymienione wyżej parametry statystyczne.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korzystać ze skali centylowej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policzyć średnią arytmetyczną zestawu danych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modę i medianę danych przedstawionych diagramami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medianę i dominantę zestawu danych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modę i medianę pogrupowanych danych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wariancję i odchylenie standardowe zestawu danych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obliczyć wariancję i odchylenie standardowe zestawu danych przedstawionych różnymi sposobami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średnią ważoną zestawu liczb z podanymi wagami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w zadaniach średnią ważoną</w:t>
            </w:r>
          </w:p>
        </w:tc>
      </w:tr>
    </w:tbl>
    <w:p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8516A6" w:rsidRPr="008516A6" w:rsidTr="002148F1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8516A6" w:rsidRPr="008516A6" w:rsidTr="002148F1">
        <w:trPr>
          <w:jc w:val="center"/>
        </w:trPr>
        <w:tc>
          <w:tcPr>
            <w:tcW w:w="5387" w:type="dxa"/>
            <w:shd w:val="clear" w:color="000000" w:fill="FFC000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2148F1" w:rsidRPr="008516A6" w:rsidTr="002148F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rozwiązywać zadania ze statystyki opisowej o średnim stopniu trudności.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stosować wiadomości ze statystyki w różnych nietypowych zadaniach zadaniach</w:t>
            </w:r>
          </w:p>
        </w:tc>
      </w:tr>
      <w:tr w:rsidR="002148F1" w:rsidRPr="008516A6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oblicza średnią arytmetyczną danych przedstawionych w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niestandardowy sposób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 xml:space="preserve">wykorzystuje w zadaniach o podwyższonym stopniu trudności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pojęcia statystyczne</w:t>
            </w:r>
          </w:p>
        </w:tc>
      </w:tr>
      <w:tr w:rsidR="002148F1" w:rsidRPr="008516A6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oblicza odchylenie standardowe i wariancję danych przedstawionych w niestandardowy sposób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2148F1" w:rsidRPr="008516A6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nietypowe zadania w których występuje średnia ważona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2148F1" w:rsidRPr="008516A6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interpretować dane statystyczne, ze szczególnym uwzględnieniem miar rozrzutu oraz skali centylowej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516A6" w:rsidRDefault="008516A6">
      <w:pPr>
        <w:rPr>
          <w:b/>
          <w:bCs/>
          <w:color w:val="002060"/>
          <w:sz w:val="20"/>
          <w:szCs w:val="20"/>
        </w:rPr>
      </w:pPr>
    </w:p>
    <w:p w:rsidR="0099024F" w:rsidRDefault="0099024F">
      <w:pPr>
        <w:rPr>
          <w:b/>
          <w:bCs/>
          <w:color w:val="002060"/>
          <w:sz w:val="20"/>
          <w:szCs w:val="20"/>
        </w:rPr>
      </w:pPr>
    </w:p>
    <w:p w:rsidR="002148F1" w:rsidRDefault="002148F1">
      <w:pPr>
        <w:rPr>
          <w:b/>
          <w:bCs/>
          <w:color w:val="002060"/>
          <w:sz w:val="20"/>
          <w:szCs w:val="20"/>
        </w:rPr>
      </w:pPr>
    </w:p>
    <w:p w:rsidR="002148F1" w:rsidRDefault="002148F1">
      <w:pPr>
        <w:rPr>
          <w:b/>
          <w:bCs/>
          <w:color w:val="002060"/>
          <w:sz w:val="20"/>
          <w:szCs w:val="20"/>
        </w:rPr>
      </w:pPr>
    </w:p>
    <w:p w:rsidR="002148F1" w:rsidRDefault="002148F1">
      <w:pPr>
        <w:rPr>
          <w:b/>
          <w:bCs/>
          <w:color w:val="002060"/>
          <w:sz w:val="20"/>
          <w:szCs w:val="20"/>
        </w:rPr>
      </w:pPr>
    </w:p>
    <w:p w:rsidR="003443E8" w:rsidRPr="0051162B" w:rsidRDefault="002148F1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RACHUNEK PRAWDOPODOBIEŃSTWA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Doświadczenie losowe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Zdarzenia. Działania na zdarzeniach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Określenie prawdopodobieństwa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Prawdopodobieństwo klasyczne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Doświadczenie losowe wieloetapowe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26E4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026E45" w:rsidRDefault="008F5363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Prawdopodobieństwo warunkowe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026E45" w:rsidRDefault="008F5363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Twierdzenie o prawdopodobieństwie całkowitym. Wzór Bayesa</w:t>
            </w:r>
          </w:p>
        </w:tc>
      </w:tr>
      <w:tr w:rsidR="008F5363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8F5363" w:rsidRDefault="008F5363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8F5363" w:rsidRDefault="008F5363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Niezależność zdarzeń</w:t>
            </w:r>
          </w:p>
        </w:tc>
      </w:tr>
      <w:tr w:rsidR="008F5363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8F5363" w:rsidRDefault="008F5363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8F5363" w:rsidRDefault="008F5363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Schemat </w:t>
            </w:r>
            <w:proofErr w:type="spellStart"/>
            <w:r>
              <w:rPr>
                <w:color w:val="002060"/>
                <w:sz w:val="20"/>
                <w:szCs w:val="20"/>
              </w:rPr>
              <w:t>Bernoulliego</w:t>
            </w:r>
            <w:proofErr w:type="spellEnd"/>
          </w:p>
        </w:tc>
      </w:tr>
      <w:tr w:rsidR="008F5363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8F5363" w:rsidRDefault="008F5363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8F5363" w:rsidRDefault="008F5363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Zmienna losowa. Wartość oczekiwana zmiennej losowej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2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2"/>
    <w:p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8516A6" w:rsidRPr="008516A6" w:rsidTr="008F5363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8516A6" w:rsidRPr="008516A6" w:rsidTr="008F5363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8F5363" w:rsidRPr="008516A6" w:rsidTr="008F5363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terminy: doświadczenie losowe, zdarzenie elementarne, przestrzeń zdarzeń elementarnych, zdarzenie, zdarzenie pewne zdarzenie niemożliwe, zdarzenia wykluczające się;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sumę, iloczyn i różnicę zdarzeń</w:t>
            </w:r>
          </w:p>
        </w:tc>
      </w:tr>
      <w:tr w:rsidR="008F5363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zbiór wszystkich zdarzeń danego doświadczenia losowego, obliczyć jego moc oraz obliczyć liczbę zdarzeń elementarnych sprzyjających danemu zdarzeniu;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zastosować twierdzenie o prawdopodobieństwie sumy zdarzeń</w:t>
            </w:r>
          </w:p>
        </w:tc>
      </w:tr>
      <w:tr w:rsidR="008F5363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zdarzenia niemożliwego i pewnego; potrafi podać przykłady takich zdarzeń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sprawdzić, czy zdarzenia się wykluczają</w:t>
            </w:r>
          </w:p>
        </w:tc>
      </w:tr>
      <w:tr w:rsidR="008F5363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stosować klasyczną definicję prawdopodobieństwa w rozwiązaniach zadań;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rozwiązywać proste zadania dotyczące niezależności zdarzeń.</w:t>
            </w:r>
          </w:p>
        </w:tc>
      </w:tr>
      <w:tr w:rsidR="008F5363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i rozumie aksjomatyczną definicję prawdopodobieństwa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 xml:space="preserve">zna własności prawdopodobieństwa i umie je stosować </w:t>
            </w:r>
            <w:r w:rsidR="001B2ABD">
              <w:rPr>
                <w:rFonts w:ascii="Calibri" w:eastAsia="Symbol" w:hAnsi="Calibri" w:cs="Symbol"/>
                <w:color w:val="00B050"/>
                <w:sz w:val="20"/>
                <w:szCs w:val="20"/>
              </w:rPr>
              <w:br/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w rozwiązaniach prostych zadań;</w:t>
            </w:r>
          </w:p>
        </w:tc>
      </w:tr>
      <w:tr w:rsidR="008F5363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umie obliczyć prawdopodobieństwo zdarzenia przeciwnego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zna określenie prawdopodobieństwa warunkowego i umie rozwiązywać proste zadania dotyczące takiego prawdopodobieństwa;</w:t>
            </w:r>
          </w:p>
        </w:tc>
      </w:tr>
      <w:tr w:rsidR="008F5363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definicję prawdopodobieństwa warunkowego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rozwiązuje proste zadania za pomocą drzewa stochastycznego;</w:t>
            </w:r>
          </w:p>
        </w:tc>
      </w:tr>
      <w:tr w:rsidR="008F5363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pary zdarzeń przeciwnych i wykluczających się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wykorzystuje regułę mnożenia, dodawania, permutacje </w:t>
            </w:r>
            <w:r w:rsidR="001B2ABD">
              <w:rPr>
                <w:rFonts w:ascii="Calibri" w:hAnsi="Calibri" w:cs="Calibri"/>
                <w:color w:val="00B05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i kombinacje do obliczania pra</w:t>
            </w:r>
            <w:r w:rsidR="001B2ABD">
              <w:rPr>
                <w:rFonts w:ascii="Calibri" w:hAnsi="Calibri" w:cs="Calibri"/>
                <w:color w:val="00B05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dopodobieństwa zdarzeń </w:t>
            </w:r>
            <w:r w:rsidR="001B2ABD">
              <w:rPr>
                <w:rFonts w:ascii="Calibri" w:hAnsi="Calibri" w:cs="Calibri"/>
                <w:color w:val="00B05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w prostych zadaniach</w:t>
            </w:r>
          </w:p>
        </w:tc>
      </w:tr>
      <w:tr w:rsidR="008F5363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wzór na prawdopodobieństwo całkowite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 xml:space="preserve">potrafi zastosować prawdopodobieństwo całkowite </w:t>
            </w:r>
            <w:r w:rsidR="001B2ABD">
              <w:rPr>
                <w:rFonts w:ascii="Calibri" w:eastAsia="Symbol" w:hAnsi="Calibri" w:cs="Symbol"/>
                <w:color w:val="00B050"/>
                <w:sz w:val="20"/>
                <w:szCs w:val="20"/>
              </w:rPr>
              <w:br/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w rozwiązaniu prostych zadań;</w:t>
            </w:r>
          </w:p>
        </w:tc>
      </w:tr>
      <w:tr w:rsidR="008F5363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spraw</w:t>
            </w:r>
            <w:r w:rsidR="001B2ABD">
              <w:rPr>
                <w:rFonts w:ascii="Calibri" w:hAnsi="Calibri" w:cs="Calibri"/>
                <w:color w:val="305496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zić, czy są spełnione założenia twierdzenia o prawdopodobieństwie całkowitym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wzór Bayesa</w:t>
            </w:r>
          </w:p>
        </w:tc>
      </w:tr>
      <w:tr w:rsidR="008F5363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wie, jakie zdarzenia nazywamy niezależnymi; potrafi zbadać, posługując się definicją, czy dwa zdarzenia są niezależne;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zadania w których występują zdarzenia niezależne</w:t>
            </w:r>
          </w:p>
        </w:tc>
      </w:tr>
      <w:tr w:rsidR="008F5363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podać rozkład zmiennej losowej</w:t>
            </w:r>
          </w:p>
        </w:tc>
      </w:tr>
      <w:tr w:rsidR="008F5363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zna wzór 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Bernoulliego</w:t>
            </w:r>
            <w:proofErr w:type="spellEnd"/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i oblicza prawdopodobieństwo sukcesu </w:t>
            </w:r>
            <w:r w:rsidR="001B2ABD">
              <w:rPr>
                <w:rFonts w:ascii="Calibri" w:hAnsi="Calibri" w:cs="Calibri"/>
                <w:color w:val="00B05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i porażki w pojedy</w:t>
            </w:r>
            <w:r w:rsidR="001B2ABD">
              <w:rPr>
                <w:rFonts w:ascii="Calibri" w:hAnsi="Calibri" w:cs="Calibri"/>
                <w:color w:val="00B05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czej próbie 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Bernoulliego</w:t>
            </w:r>
            <w:proofErr w:type="spellEnd"/>
          </w:p>
        </w:tc>
      </w:tr>
    </w:tbl>
    <w:p w:rsidR="00A93E20" w:rsidRDefault="00A93E20">
      <w:pPr>
        <w:rPr>
          <w:b/>
          <w:bCs/>
          <w:color w:val="002060"/>
          <w:sz w:val="20"/>
          <w:szCs w:val="20"/>
        </w:rPr>
      </w:pPr>
    </w:p>
    <w:p w:rsidR="00A93E20" w:rsidRDefault="00A93E20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47"/>
        <w:gridCol w:w="5326"/>
      </w:tblGrid>
      <w:tr w:rsidR="00A93E20" w:rsidRPr="00A93E20" w:rsidTr="00543793">
        <w:trPr>
          <w:cantSplit/>
          <w:trHeight w:val="300"/>
          <w:tblHeader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:rsidTr="00543793">
        <w:trPr>
          <w:cantSplit/>
          <w:trHeight w:val="300"/>
          <w:tblHeader/>
        </w:trPr>
        <w:tc>
          <w:tcPr>
            <w:tcW w:w="5447" w:type="dxa"/>
            <w:shd w:val="clear" w:color="000000" w:fill="FFC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26" w:type="dxa"/>
            <w:shd w:val="clear" w:color="000000" w:fill="FF0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43793" w:rsidRPr="00A93E20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umie udowodnić własności prawdopodobieństwa;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stosuje własności prawdopodobieństwa w dowodach twierdzeń</w:t>
            </w:r>
          </w:p>
        </w:tc>
      </w:tr>
      <w:tr w:rsidR="00543793" w:rsidRPr="00A93E20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umie stosować własności prawdopodobieństwa do rozwiązywania zadań „teoretycznych”;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stosuje wzór do Bayesa do obliczania prawdopodobieństwa przyczyny</w:t>
            </w:r>
          </w:p>
        </w:tc>
      </w:tr>
      <w:tr w:rsidR="00543793" w:rsidRPr="00A93E20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z rachunku prawdopodobieństwa o średnim stopniu trudności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oblicza prawdopodobieństwo w doświadczeniach wieloetapowych</w:t>
            </w:r>
          </w:p>
        </w:tc>
      </w:tr>
      <w:tr w:rsidR="00543793" w:rsidRPr="00A93E20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obliczać prawdopodobieństwo całkowite zdarzeń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wykorzystuje wzór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Bernoulliego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do obliczania prawdopodobieństwa co najmniej k sukcesów w n próbach</w:t>
            </w:r>
          </w:p>
        </w:tc>
      </w:tr>
      <w:tr w:rsidR="00543793" w:rsidRPr="00A93E20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stosować wzór Bayesa;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rozwiązuje zadania z rachunku prawdopodobieństwa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o podwyższonym stopniu trudności</w:t>
            </w:r>
          </w:p>
        </w:tc>
      </w:tr>
      <w:tr w:rsidR="00543793" w:rsidRPr="00A93E20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wie i rozumie na czym polega niezależność n zdarzeń (n</w:t>
            </w:r>
            <w:r w:rsidR="00CA317C"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≥</w:t>
            </w:r>
            <w:r w:rsidR="00CA317C"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2).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prowadzi dowody wykorzystujące własności prawdopodobieństwa i poznane wzory</w:t>
            </w:r>
          </w:p>
        </w:tc>
      </w:tr>
      <w:tr w:rsidR="00543793" w:rsidRPr="00A93E20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Wykorzystuje regułę mnożenia, dodawania, permutacje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i kombinacje do obliczania prawdopodobieństwa zdarzeń w zadaniach o średnim stopniu trudności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3793" w:rsidRPr="00A93E20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wzór na prawdopodobieństwo warunkowe do wyznaczania prawdopodobieństwa sumy, iloczynu i różnicy zdarzeń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3793" w:rsidRPr="00A93E20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stosuje wzór </w:t>
            </w:r>
            <w:proofErr w:type="spellStart"/>
            <w:r>
              <w:rPr>
                <w:rFonts w:ascii="Calibri" w:hAnsi="Calibri" w:cs="Calibri"/>
                <w:color w:val="C65911"/>
                <w:sz w:val="20"/>
                <w:szCs w:val="20"/>
              </w:rPr>
              <w:t>Bernoulliego</w:t>
            </w:r>
            <w:proofErr w:type="spellEnd"/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 do obliczania prawdopodobieństwa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</w:r>
            <w:r w:rsidRPr="00543793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 sukcesów w </w:t>
            </w:r>
            <w:r w:rsidRPr="00543793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 próbach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3793" w:rsidRPr="00A93E20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wartość oczekiwaną zmiennej losowej i potrafi określić, czy gra jest sprawiedliwa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A93E20" w:rsidRDefault="00A93E20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2148F1" w:rsidRPr="008516A6" w:rsidTr="00CA317C">
        <w:trPr>
          <w:cantSplit/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2148F1" w:rsidRPr="008516A6" w:rsidRDefault="002148F1" w:rsidP="00EF531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2148F1" w:rsidRPr="008516A6" w:rsidTr="00CA317C">
        <w:trPr>
          <w:cantSplit/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2148F1" w:rsidRPr="008516A6" w:rsidRDefault="002148F1" w:rsidP="00EF531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>W</w:t>
            </w:r>
          </w:p>
        </w:tc>
      </w:tr>
      <w:tr w:rsidR="00CA317C" w:rsidRPr="008516A6" w:rsidTr="00D43CDA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C" w:rsidRPr="008516A6" w:rsidRDefault="00CA317C" w:rsidP="00CA317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sz w:val="20"/>
                <w:szCs w:val="20"/>
              </w:rPr>
              <w:t>potrafi  udowodnić, że prawdopodobieństwo warunkowe spełnia warunki  aksjomatycznej definicji prawdopodobieństwa;</w:t>
            </w:r>
          </w:p>
        </w:tc>
      </w:tr>
      <w:tr w:rsidR="00CA317C" w:rsidRPr="008516A6" w:rsidTr="00D43CDA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C" w:rsidRPr="008516A6" w:rsidRDefault="00CA317C" w:rsidP="00CA317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potrafi  udowodnić wzór na prawdopodobieństwo całkowite</w:t>
            </w:r>
          </w:p>
        </w:tc>
      </w:tr>
      <w:tr w:rsidR="00CA317C" w:rsidRPr="008516A6" w:rsidTr="00D43CDA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C" w:rsidRPr="008516A6" w:rsidRDefault="00CA317C" w:rsidP="00CA317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udowadnia wzór Bayesa</w:t>
            </w:r>
          </w:p>
        </w:tc>
      </w:tr>
      <w:tr w:rsidR="00CA317C" w:rsidRPr="008516A6" w:rsidTr="00D43CDA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C" w:rsidRPr="008516A6" w:rsidRDefault="00CA317C" w:rsidP="00CA317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sz w:val="20"/>
                <w:szCs w:val="20"/>
              </w:rPr>
              <w:t>potrafi rozwiązywać nietypowe zadania dotyczące kombinatoryki i rachunku prawdopodobieństwa.</w:t>
            </w:r>
          </w:p>
        </w:tc>
      </w:tr>
    </w:tbl>
    <w:p w:rsidR="002148F1" w:rsidRDefault="002148F1">
      <w:pPr>
        <w:rPr>
          <w:b/>
          <w:bCs/>
          <w:color w:val="002060"/>
          <w:sz w:val="20"/>
          <w:szCs w:val="20"/>
        </w:rPr>
      </w:pPr>
    </w:p>
    <w:p w:rsidR="002148F1" w:rsidRDefault="002148F1">
      <w:pPr>
        <w:rPr>
          <w:b/>
          <w:bCs/>
          <w:color w:val="002060"/>
          <w:sz w:val="20"/>
          <w:szCs w:val="20"/>
        </w:rPr>
      </w:pPr>
    </w:p>
    <w:p w:rsidR="009102D5" w:rsidRDefault="009102D5">
      <w:pPr>
        <w:rPr>
          <w:b/>
          <w:bCs/>
          <w:color w:val="002060"/>
          <w:sz w:val="20"/>
          <w:szCs w:val="20"/>
        </w:rPr>
      </w:pPr>
    </w:p>
    <w:p w:rsidR="009102D5" w:rsidRDefault="009102D5">
      <w:pPr>
        <w:rPr>
          <w:b/>
          <w:bCs/>
          <w:color w:val="002060"/>
          <w:sz w:val="20"/>
          <w:szCs w:val="20"/>
        </w:rPr>
      </w:pPr>
    </w:p>
    <w:p w:rsidR="009102D5" w:rsidRDefault="009102D5">
      <w:pPr>
        <w:rPr>
          <w:b/>
          <w:bCs/>
          <w:color w:val="002060"/>
          <w:sz w:val="20"/>
          <w:szCs w:val="20"/>
        </w:rPr>
      </w:pPr>
    </w:p>
    <w:p w:rsidR="009102D5" w:rsidRDefault="009102D5">
      <w:pPr>
        <w:rPr>
          <w:b/>
          <w:bCs/>
          <w:color w:val="002060"/>
          <w:sz w:val="20"/>
          <w:szCs w:val="20"/>
        </w:rPr>
      </w:pPr>
    </w:p>
    <w:p w:rsidR="009102D5" w:rsidRDefault="009102D5">
      <w:pPr>
        <w:rPr>
          <w:b/>
          <w:bCs/>
          <w:color w:val="002060"/>
          <w:sz w:val="20"/>
          <w:szCs w:val="20"/>
        </w:rPr>
      </w:pPr>
    </w:p>
    <w:p w:rsidR="009102D5" w:rsidRDefault="009102D5">
      <w:pPr>
        <w:rPr>
          <w:b/>
          <w:bCs/>
          <w:color w:val="002060"/>
          <w:sz w:val="20"/>
          <w:szCs w:val="20"/>
        </w:rPr>
      </w:pPr>
    </w:p>
    <w:p w:rsidR="009102D5" w:rsidRDefault="009102D5">
      <w:pPr>
        <w:rPr>
          <w:b/>
          <w:bCs/>
          <w:color w:val="002060"/>
          <w:sz w:val="20"/>
          <w:szCs w:val="20"/>
        </w:rPr>
      </w:pPr>
    </w:p>
    <w:p w:rsidR="009102D5" w:rsidRDefault="009102D5">
      <w:pPr>
        <w:rPr>
          <w:b/>
          <w:bCs/>
          <w:color w:val="002060"/>
          <w:sz w:val="20"/>
          <w:szCs w:val="20"/>
        </w:rPr>
      </w:pPr>
    </w:p>
    <w:p w:rsidR="002148F1" w:rsidRDefault="002148F1">
      <w:pPr>
        <w:rPr>
          <w:b/>
          <w:bCs/>
          <w:color w:val="002060"/>
          <w:sz w:val="20"/>
          <w:szCs w:val="20"/>
        </w:rPr>
      </w:pPr>
    </w:p>
    <w:p w:rsidR="002148F1" w:rsidRDefault="002148F1">
      <w:pPr>
        <w:rPr>
          <w:b/>
          <w:bCs/>
          <w:color w:val="002060"/>
          <w:sz w:val="20"/>
          <w:szCs w:val="20"/>
        </w:rPr>
      </w:pPr>
    </w:p>
    <w:p w:rsidR="0026264C" w:rsidRPr="0051162B" w:rsidRDefault="00A93E2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GEOMETRIA </w:t>
      </w:r>
      <w:r w:rsidR="00CA317C">
        <w:rPr>
          <w:b/>
          <w:bCs/>
          <w:color w:val="002060"/>
          <w:sz w:val="28"/>
          <w:szCs w:val="28"/>
        </w:rPr>
        <w:t>PRZESTRZENNA. WIELOŚCIANY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Płaszczyzny i proste w przestrzeni. Równoległość prostych i płaszczyzn. Proste skośne.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Prostopadłość prostych i płaszczyzn w przestrzeni.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Rzut równoległy na płaszczyznę. Rysowanie figur płaskich w rzucie równoległym na płaszczyznę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Kąt między prostą a płaszczyzną. Kąt dwuścienny.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Graniastosłupy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Ostrosłupy</w:t>
            </w:r>
          </w:p>
        </w:tc>
      </w:tr>
      <w:tr w:rsidR="00CA317C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CA317C" w:rsidRDefault="00CA317C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CA317C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Siatka wielościanu. Pole powierzchni wielościanu</w:t>
            </w:r>
          </w:p>
        </w:tc>
      </w:tr>
      <w:tr w:rsidR="009102D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9102D5" w:rsidRDefault="009102D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102D5" w:rsidRDefault="009102D5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Objętość figury przestrzennej. Objętość wielościanów</w:t>
            </w:r>
          </w:p>
        </w:tc>
      </w:tr>
      <w:tr w:rsidR="009102D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9102D5" w:rsidRDefault="009102D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102D5" w:rsidRDefault="009102D5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Przekroje wielościanów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A93E20" w:rsidRPr="00A93E20" w:rsidTr="009102D5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3E20" w:rsidRPr="00A93E20" w:rsidTr="009102D5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dwóch płaszczyzn w przestrzeni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sprawdzić, czy istnieje graniastosłup o danej liczbie krawędzi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prostej i płaszczyzny w przestrzeni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pole powierzchni bocznej i pole powierzchni całkowitej graniastosłupa prostego oraz ostrosłupa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dwóch prostych w przestrzeni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stosuje funkcje trygonometryczne do obliczania pola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powierzchni graniastosłupa oraz ostrosłupa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lastRenderedPageBreak/>
              <w:t>rysuje figury płaskie w rzucie równoległym na płaszczyznę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oblicza długości przekątnych graniastosłupa prostego również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>z wykorzystaniem wcześniej poznanych twierdzeń z planimetrii oraz trygonometrii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scharakteryzować prostopadłość prostej i płaszczyzny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objętość graniastosłupa prostego oraz ostrosłupa prawidłowego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scharakteryzować prostopadłość dwóch płaszczyzn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objętość graniastosłupa pochyłego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odległości punktu od płaszczyzny oraz odległości prostej równoległej do płaszczyzny od tej płaszczyzny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pole powierzchni ostrosłupa mając daną jego siatkę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i potrafi stosować twierdzenie o trzech prostych prostopadłych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rozpoznać w graniastosłupach i ostrosłupach kąt między ścianami oraz obliczyć miarę tego kąta;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rozumie pojęcie kąta między prostą a płaszczyzną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kąta dwuściennego, poprawnie posługuje się terminem “kąt liniowy kąta dwuściennego”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graniastosłupa; umie wskazać: podstawy, ściany boczne, krawędzie podstaw, krawędzie boczne, wysokość graniastosłupa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podział graniastosłupów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narysować siatki graniastosłupów prostych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narysować siatkę graniastosłupa prostego, mając dany jej fragment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narysować siatkę ostrosłupa prostego, mając dany jej fragment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ostrosłupa; umie wskazać: podstawę, ściany boczne, krawędzie podstaw, krawędzie boczne, wysokość ostrosłupa;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podział ostrosłupów;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narysować siatki ostrosłupów prostych;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0F2F18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rozpoznać w graniastosłupach i ostrosłupach kąty między odcinkami (np. krawędziami, krawędziami i przekątnymi itp.) oraz obliczyć miary tych kątów;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0F2F1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rozpoznać w graniastosłupach i ostrosłupach kąty między odcinkami i płaszczyznami (kąty między krawędziami i ścianami, przekątnymi i ścianami) oraz obliczyć miary tych kątów;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0F2F18" w:rsidRPr="00A93E20" w:rsidTr="000F2F1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18" w:rsidRDefault="00955350" w:rsidP="000276E6">
            <w:pPr>
              <w:spacing w:before="60" w:after="60" w:line="240" w:lineRule="auto"/>
              <w:rPr>
                <w:rFonts w:ascii="Calibri" w:eastAsia="Symbol" w:hAnsi="Calibri" w:cs="Symbol"/>
                <w:color w:val="305496"/>
                <w:sz w:val="20"/>
                <w:szCs w:val="20"/>
              </w:rPr>
            </w:pPr>
            <w:r w:rsidRPr="00955350"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poznanych graniastosłupów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18" w:rsidRDefault="000F2F18" w:rsidP="000276E6">
            <w:pPr>
              <w:spacing w:before="60" w:after="6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  <w:tr w:rsidR="00955350" w:rsidRPr="00A93E20" w:rsidTr="000F2F1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50" w:rsidRPr="00955350" w:rsidRDefault="00955350" w:rsidP="000276E6">
            <w:pPr>
              <w:spacing w:before="60" w:after="60" w:line="240" w:lineRule="auto"/>
              <w:rPr>
                <w:rFonts w:ascii="Calibri" w:eastAsia="Symbol" w:hAnsi="Calibri" w:cs="Symbol"/>
                <w:color w:val="305496"/>
                <w:sz w:val="20"/>
                <w:szCs w:val="20"/>
              </w:rPr>
            </w:pPr>
            <w:r w:rsidRPr="00955350"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poznanych ostrosłupów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50" w:rsidRDefault="00955350" w:rsidP="000276E6">
            <w:pPr>
              <w:spacing w:before="60" w:after="6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</w:tbl>
    <w:p w:rsidR="00A93E20" w:rsidRDefault="00A93E2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A93E20" w:rsidRPr="00A93E20" w:rsidTr="009102D5">
        <w:trPr>
          <w:cantSplit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:rsidTr="009102D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E21E9" w:rsidRPr="00A93E20" w:rsidTr="009102D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przeprowadza wnioskowania dotycząc położenia prostych w przestrzeni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przeprowadza dowód twierdzenia o prostej prostopadłej do płaszczyzny</w:t>
            </w:r>
          </w:p>
        </w:tc>
      </w:tr>
      <w:tr w:rsidR="004E21E9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stosuje twierdzenie o trzech prostych prostopadłych do uzasadniania prostopadłości prostych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z wykorzystaniem wzorów na objętość i pole powierzchni graniastosłupa prostego</w:t>
            </w:r>
          </w:p>
        </w:tc>
      </w:tr>
      <w:tr w:rsidR="004E21E9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twierdzenie o trzech prostych prostopadłych do rozwiązywania zadań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z wykorzystaniem wzorów na objętość i pole powierzchni ostrosłupa</w:t>
            </w:r>
          </w:p>
        </w:tc>
      </w:tr>
      <w:tr w:rsidR="004E21E9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dotyczące miar kąta między prostą a płaszczyzną, również z wykorzystaniem trygonometrii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przeprowadza dowód twierdzenia o trzech prostych prostopadłych</w:t>
            </w:r>
          </w:p>
        </w:tc>
      </w:tr>
      <w:tr w:rsidR="004E21E9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dotyczące miary kąta dwuściennego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dotyczące przekrojów wielościanów z wykorzystaniem poznanych twierdzeń z planimetrii oraz trygonometrii</w:t>
            </w:r>
          </w:p>
        </w:tc>
      </w:tr>
      <w:tr w:rsidR="004E21E9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objętości graniastosłupów oraz ostrosłupów z wykorzystaniem wcześniej poznanych twierdzeń z planimetrii oraz trygonometrii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wykorzystuje wiadomości z analizy matematycznej w rozwiązaniach zadań ze stereometrii, w zakresie wielościanów</w:t>
            </w:r>
          </w:p>
        </w:tc>
      </w:tr>
      <w:tr w:rsidR="004E21E9" w:rsidRPr="00A93E20" w:rsidTr="009D6662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wyznaczać przekroje wielościanów;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4E21E9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obliczyć pole powierzchni przekroju bryły daną płaszczyzną  (graniastosłupa, ostrosłupa)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4E21E9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stosować twierdzenie o objętości brył podobnych w rozwiązaniach prostych zadań;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4E21E9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geometryczne dotyczące brył o średnim stopniu trudności, z wykorzystaniem wcześniej poznanych twierdzeń z planimetrii oraz trygonometrii;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</w:tbl>
    <w:p w:rsidR="00476730" w:rsidRDefault="00476730">
      <w:pPr>
        <w:rPr>
          <w:b/>
          <w:bCs/>
          <w:color w:val="002060"/>
          <w:sz w:val="28"/>
          <w:szCs w:val="28"/>
        </w:rPr>
      </w:pPr>
    </w:p>
    <w:p w:rsidR="00476730" w:rsidRDefault="0047673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476730" w:rsidRPr="00476730" w:rsidTr="00476730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76730" w:rsidRPr="00476730" w:rsidTr="0047673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76730" w:rsidRPr="000276E6" w:rsidTr="009102D5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30" w:rsidRPr="000276E6" w:rsidRDefault="000276E6" w:rsidP="000276E6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276E6">
              <w:rPr>
                <w:rFonts w:ascii="Calibri" w:hAnsi="Calibri" w:cs="Calibri"/>
                <w:sz w:val="20"/>
                <w:szCs w:val="20"/>
              </w:rPr>
              <w:t>potrafi rozwiązywać nietypowe zadania geometryczne dotyczące brył, z wykorzystaniem poznanych twierdzeń</w:t>
            </w:r>
          </w:p>
        </w:tc>
      </w:tr>
    </w:tbl>
    <w:p w:rsidR="00476730" w:rsidRDefault="00476730">
      <w:pPr>
        <w:rPr>
          <w:b/>
          <w:bCs/>
          <w:color w:val="002060"/>
          <w:sz w:val="28"/>
          <w:szCs w:val="28"/>
        </w:rPr>
      </w:pPr>
    </w:p>
    <w:p w:rsidR="000276E6" w:rsidRDefault="000276E6">
      <w:pPr>
        <w:rPr>
          <w:b/>
          <w:bCs/>
          <w:color w:val="002060"/>
          <w:sz w:val="28"/>
          <w:szCs w:val="28"/>
        </w:rPr>
      </w:pPr>
    </w:p>
    <w:p w:rsidR="000276E6" w:rsidRDefault="000276E6">
      <w:pPr>
        <w:rPr>
          <w:b/>
          <w:bCs/>
          <w:color w:val="002060"/>
          <w:sz w:val="28"/>
          <w:szCs w:val="28"/>
        </w:rPr>
      </w:pPr>
    </w:p>
    <w:p w:rsidR="000276E6" w:rsidRDefault="000276E6">
      <w:pPr>
        <w:rPr>
          <w:b/>
          <w:bCs/>
          <w:color w:val="002060"/>
          <w:sz w:val="28"/>
          <w:szCs w:val="28"/>
        </w:rPr>
      </w:pPr>
    </w:p>
    <w:p w:rsidR="0026264C" w:rsidRPr="0051162B" w:rsidRDefault="000276E6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PRZESTRZENNA. BRYŁY OBROTOWE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Walec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Stożek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Kula i sfera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Bryły obrotowe – zadania różne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</w:t>
            </w:r>
            <w:r w:rsidR="00C95BE5">
              <w:rPr>
                <w:color w:val="002060"/>
                <w:sz w:val="20"/>
                <w:szCs w:val="20"/>
              </w:rPr>
              <w:t>odobieństwo</w:t>
            </w:r>
            <w:r>
              <w:rPr>
                <w:color w:val="002060"/>
                <w:sz w:val="20"/>
                <w:szCs w:val="20"/>
              </w:rPr>
              <w:t xml:space="preserve"> figur w przestrzeni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analizy matematycznej w rozwiązywaniu zadań z geometrii przestrzennej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48525D" w:rsidRPr="0048525D" w:rsidTr="000D5BA0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8525D" w:rsidRPr="0048525D" w:rsidTr="000D5BA0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walca; umie wskazać: podstawy, powierzchnię boczną, tworzącą, oś obrotu walca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rozwiązywać proste zadania geometryczne dotyczące brył, w tym z wykorzystaniem trygonometrii i poznanych wcześniej twierdzeń z geometrii płaskiej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określenie “przekrój osiowy walca”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zadania dotyczące rozwinięcia powierzchni bocznej walca oraz powierzchni bocznej stożka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stożka; umie wskazać: podstawę, powierzchnię boczną, tworzącą, wysokość, oś obrotu stożka;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funkcje trygonometryczne do obliczania pola powierzchni i objętości brył obrotowych (stożka, kuli, walca)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rozpoznaje w walcach i stożkach kąt między odcinkami oraz kąt między odcinkami i płaszczyznami (np. kąt rozwarcia stożka, kąt między tworzącą a podstawą) oraz oblicza miary tych kątów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skalę podobieństwa brył podobnych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kuli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 xml:space="preserve">potrafi stosować twierdzenie o objętości brył podobnych </w:t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br/>
              <w:t>w rozwiązaniach prostych zadań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objętości bryły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brył obrotowych (stożka, kuli, walca)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</w:tbl>
    <w:p w:rsidR="0048525D" w:rsidRDefault="0048525D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48525D" w:rsidRPr="0048525D" w:rsidTr="000D5BA0">
        <w:trPr>
          <w:cantSplit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8525D" w:rsidRPr="0048525D" w:rsidTr="000D5B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określa, jaką figurą jest dany przekrój sfery płaszczyzną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FF0000"/>
                <w:sz w:val="20"/>
                <w:szCs w:val="20"/>
              </w:rPr>
              <w:t>potrafi rozwiązywać zadania, w których jedna bryła jest wpisana w drugą lub opisana na niej (ostrosłup wpisany w kulę; kula wpisana w stożek, ostrosłup opisany na kuli, walec wpisany w stożek itp.)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obliczyć pole powierzchni przekroju bryły daną płaszczyzną  (walca, stożka, kuli);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dotyczące brył obrotowych (stożka, kuli, walca)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stosować twierdzenie o objętości brył podobnych w rozwiązaniach zadań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z geometrii przestrzennej stosując analizę matematyczną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rozwiązywać zadania geometryczne dotyczące brył o średnim stopniu trudności, z wykorzystaniem wcześniej poznanych twierdzeń z planimetrii oraz trygonometrii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</w:tbl>
    <w:p w:rsidR="0048525D" w:rsidRDefault="0048525D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3"/>
      </w:tblGrid>
      <w:tr w:rsidR="0048525D" w:rsidTr="000D5BA0">
        <w:trPr>
          <w:cantSplit/>
          <w:tblHeader/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8525D" w:rsidRDefault="0048525D" w:rsidP="0048525D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48525D" w:rsidTr="000D5BA0">
        <w:trPr>
          <w:cantSplit/>
          <w:tblHeader/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8525D" w:rsidRDefault="0048525D" w:rsidP="0048525D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0D5BA0" w:rsidTr="000D5BA0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A0" w:rsidRDefault="000D5BA0" w:rsidP="000D5BA0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Symbol" w:hAnsi="Calibri" w:cs="Symbol"/>
                <w:sz w:val="20"/>
                <w:szCs w:val="20"/>
              </w:rPr>
              <w:t>potrafi rozwiązywać nietypowe zadania geometryczne dotyczące brył, z wykorzystaniem poznanych twierdzeń</w:t>
            </w:r>
          </w:p>
        </w:tc>
      </w:tr>
      <w:tr w:rsidR="000D5BA0" w:rsidTr="000D5BA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Default="000D5BA0" w:rsidP="000D5BA0">
            <w:pPr>
              <w:spacing w:before="60" w:after="6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wyprowadza wzory na objętość i pole powierzchni nietypowych brył, np. </w:t>
            </w:r>
            <w:r w:rsidR="007451C6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tożka ściętego</w:t>
            </w:r>
          </w:p>
        </w:tc>
      </w:tr>
      <w:tr w:rsidR="000D5BA0" w:rsidTr="000D5BA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Default="000D5BA0" w:rsidP="000D5BA0">
            <w:pPr>
              <w:spacing w:before="60" w:after="6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nietypowe z geometrii przestrzennej stosując analizę matematyczną</w:t>
            </w:r>
          </w:p>
        </w:tc>
      </w:tr>
    </w:tbl>
    <w:p w:rsidR="0048525D" w:rsidRDefault="0048525D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</w:p>
    <w:sectPr w:rsidR="0048525D" w:rsidSect="00212C9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B6" w:rsidRDefault="00E407B6" w:rsidP="006E3A44">
      <w:pPr>
        <w:spacing w:after="0" w:line="240" w:lineRule="auto"/>
      </w:pPr>
      <w:r>
        <w:separator/>
      </w:r>
    </w:p>
  </w:endnote>
  <w:endnote w:type="continuationSeparator" w:id="0">
    <w:p w:rsidR="00E407B6" w:rsidRDefault="00E407B6" w:rsidP="006E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44" w:rsidRDefault="006E3A44" w:rsidP="006E3A4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457325" cy="447675"/>
          <wp:effectExtent l="0" t="0" r="9525" b="9525"/>
          <wp:docPr id="7" name="Obraz 7" descr="OE_logo_low_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E_logo_low_res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B6" w:rsidRDefault="00E407B6" w:rsidP="006E3A44">
      <w:pPr>
        <w:spacing w:after="0" w:line="240" w:lineRule="auto"/>
      </w:pPr>
      <w:r>
        <w:separator/>
      </w:r>
    </w:p>
  </w:footnote>
  <w:footnote w:type="continuationSeparator" w:id="0">
    <w:p w:rsidR="00E407B6" w:rsidRDefault="00E407B6" w:rsidP="006E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D4"/>
    <w:rsid w:val="00010D0E"/>
    <w:rsid w:val="0001364E"/>
    <w:rsid w:val="000165B9"/>
    <w:rsid w:val="00026E45"/>
    <w:rsid w:val="000276E6"/>
    <w:rsid w:val="00056BFA"/>
    <w:rsid w:val="000842B3"/>
    <w:rsid w:val="000A1A12"/>
    <w:rsid w:val="000A48C5"/>
    <w:rsid w:val="000D48D7"/>
    <w:rsid w:val="000D5BA0"/>
    <w:rsid w:val="000E0AF3"/>
    <w:rsid w:val="000F1C77"/>
    <w:rsid w:val="000F2F18"/>
    <w:rsid w:val="001040F9"/>
    <w:rsid w:val="00121D3E"/>
    <w:rsid w:val="00152F7A"/>
    <w:rsid w:val="00174DDB"/>
    <w:rsid w:val="00183DD7"/>
    <w:rsid w:val="001B1FF0"/>
    <w:rsid w:val="001B2ABD"/>
    <w:rsid w:val="001B6C1F"/>
    <w:rsid w:val="001C222B"/>
    <w:rsid w:val="001D5395"/>
    <w:rsid w:val="001D6CC9"/>
    <w:rsid w:val="001E54F3"/>
    <w:rsid w:val="001F0EA5"/>
    <w:rsid w:val="00212C99"/>
    <w:rsid w:val="002148F1"/>
    <w:rsid w:val="002422CC"/>
    <w:rsid w:val="00242C3A"/>
    <w:rsid w:val="0026264C"/>
    <w:rsid w:val="002A2C6F"/>
    <w:rsid w:val="002A755F"/>
    <w:rsid w:val="002E2C52"/>
    <w:rsid w:val="00303078"/>
    <w:rsid w:val="00313FF6"/>
    <w:rsid w:val="003443E8"/>
    <w:rsid w:val="003758FA"/>
    <w:rsid w:val="00391C0F"/>
    <w:rsid w:val="00403EBC"/>
    <w:rsid w:val="004078A8"/>
    <w:rsid w:val="0042442C"/>
    <w:rsid w:val="00450BF1"/>
    <w:rsid w:val="00476730"/>
    <w:rsid w:val="0048525D"/>
    <w:rsid w:val="00487335"/>
    <w:rsid w:val="004A65EC"/>
    <w:rsid w:val="004B5973"/>
    <w:rsid w:val="004E21E9"/>
    <w:rsid w:val="004E547D"/>
    <w:rsid w:val="004F503F"/>
    <w:rsid w:val="00501978"/>
    <w:rsid w:val="0051066C"/>
    <w:rsid w:val="0051162B"/>
    <w:rsid w:val="005324EB"/>
    <w:rsid w:val="00543793"/>
    <w:rsid w:val="0059743C"/>
    <w:rsid w:val="005A0FD5"/>
    <w:rsid w:val="005F4B69"/>
    <w:rsid w:val="00616F2D"/>
    <w:rsid w:val="006330B8"/>
    <w:rsid w:val="00637949"/>
    <w:rsid w:val="00653BD8"/>
    <w:rsid w:val="006559EE"/>
    <w:rsid w:val="00676FE1"/>
    <w:rsid w:val="00694999"/>
    <w:rsid w:val="00695D61"/>
    <w:rsid w:val="006A6A80"/>
    <w:rsid w:val="006E3A44"/>
    <w:rsid w:val="007350CC"/>
    <w:rsid w:val="007451C6"/>
    <w:rsid w:val="007478FA"/>
    <w:rsid w:val="00747C68"/>
    <w:rsid w:val="00795301"/>
    <w:rsid w:val="007C06A5"/>
    <w:rsid w:val="007F47EF"/>
    <w:rsid w:val="0080754E"/>
    <w:rsid w:val="008516A6"/>
    <w:rsid w:val="00877024"/>
    <w:rsid w:val="008F46A9"/>
    <w:rsid w:val="008F5363"/>
    <w:rsid w:val="009064BA"/>
    <w:rsid w:val="009102D5"/>
    <w:rsid w:val="00927E3B"/>
    <w:rsid w:val="00955350"/>
    <w:rsid w:val="0099024F"/>
    <w:rsid w:val="009F0E75"/>
    <w:rsid w:val="009F1EB8"/>
    <w:rsid w:val="00A518DB"/>
    <w:rsid w:val="00A73DF3"/>
    <w:rsid w:val="00A80BD4"/>
    <w:rsid w:val="00A93E20"/>
    <w:rsid w:val="00A962DF"/>
    <w:rsid w:val="00AB6A58"/>
    <w:rsid w:val="00AE6950"/>
    <w:rsid w:val="00B93C2A"/>
    <w:rsid w:val="00B97401"/>
    <w:rsid w:val="00C1072D"/>
    <w:rsid w:val="00C31617"/>
    <w:rsid w:val="00C41280"/>
    <w:rsid w:val="00C95BE5"/>
    <w:rsid w:val="00CA317C"/>
    <w:rsid w:val="00CF064C"/>
    <w:rsid w:val="00CF0975"/>
    <w:rsid w:val="00D14B08"/>
    <w:rsid w:val="00D165F2"/>
    <w:rsid w:val="00D65735"/>
    <w:rsid w:val="00E14665"/>
    <w:rsid w:val="00E21955"/>
    <w:rsid w:val="00E407B6"/>
    <w:rsid w:val="00E72768"/>
    <w:rsid w:val="00E90CC3"/>
    <w:rsid w:val="00EB6CAD"/>
    <w:rsid w:val="00EF01D6"/>
    <w:rsid w:val="00F445C7"/>
    <w:rsid w:val="00F46B86"/>
    <w:rsid w:val="00FE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A44"/>
  </w:style>
  <w:style w:type="paragraph" w:styleId="Stopka">
    <w:name w:val="footer"/>
    <w:basedOn w:val="Normalny"/>
    <w:link w:val="StopkaZnak"/>
    <w:uiPriority w:val="99"/>
    <w:unhideWhenUsed/>
    <w:rsid w:val="006E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A44"/>
  </w:style>
  <w:style w:type="paragraph" w:styleId="Stopka">
    <w:name w:val="footer"/>
    <w:basedOn w:val="Normalny"/>
    <w:link w:val="StopkaZnak"/>
    <w:uiPriority w:val="99"/>
    <w:unhideWhenUsed/>
    <w:rsid w:val="006E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438C-AC9F-4D47-97B8-9C14CF94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3429</Words>
  <Characters>20580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</Company>
  <LinksUpToDate>false</LinksUpToDate>
  <CharactersWithSpaces>23962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malgorzata.golebiowska@lokolbuszowa.pl</cp:lastModifiedBy>
  <cp:revision>2</cp:revision>
  <cp:lastPrinted>2022-08-28T09:34:00Z</cp:lastPrinted>
  <dcterms:created xsi:type="dcterms:W3CDTF">2022-10-02T08:29:00Z</dcterms:created>
  <dcterms:modified xsi:type="dcterms:W3CDTF">2022-10-02T08:29:00Z</dcterms:modified>
</cp:coreProperties>
</file>